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《电动重卡用户侧充换电系统通用要求》</w:t>
      </w:r>
    </w:p>
    <w:p>
      <w:pPr>
        <w:pStyle w:val="2"/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团体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标准</w:t>
      </w: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起草工作组第三次工作会议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参会</w:t>
      </w:r>
      <w:r>
        <w:rPr>
          <w:rFonts w:hint="eastAsia" w:ascii="宋体" w:hAnsi="宋体"/>
          <w:b/>
          <w:sz w:val="32"/>
          <w:szCs w:val="28"/>
          <w:lang w:val="en-US" w:eastAsia="zh-CN"/>
        </w:rPr>
        <w:t>回执</w:t>
      </w:r>
    </w:p>
    <w:bookmarkEnd w:id="0"/>
    <w:p>
      <w:pPr>
        <w:pStyle w:val="3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4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365"/>
        <w:gridCol w:w="1154"/>
        <w:gridCol w:w="2239"/>
        <w:gridCol w:w="146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65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线上参会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线下参会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65A348A0"/>
    <w:rsid w:val="65A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2023-02-09T08:00:00Z</dcterms:created>
  <dc:creator>江苏省钢铁行业协会</dc:creator>
  <cp:lastModifiedBy>江苏省钢铁行业协会</cp:lastModifiedBy>
  <dcterms:modified xsi:type="dcterms:W3CDTF">2023-02-09T08:00:16Z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81E1440BA26C419E82724F5DDF46A61F</vt:lpwstr>
  </property>
</Properties>
</file>