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《电动重卡用户侧充换电系统通用要求》</w:t>
      </w:r>
    </w:p>
    <w:p>
      <w:pPr>
        <w:pStyle w:val="2"/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cs="宋体"/>
          <w:b/>
          <w:bCs/>
          <w:color w:val="000000"/>
          <w:kern w:val="2"/>
          <w:sz w:val="32"/>
          <w:szCs w:val="32"/>
          <w:lang w:val="en-US" w:eastAsia="zh-CN" w:bidi="ar-SA"/>
        </w:rPr>
        <w:t>团体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标准</w:t>
      </w:r>
      <w:r>
        <w:rPr>
          <w:rFonts w:hint="eastAsia" w:cs="宋体"/>
          <w:b/>
          <w:bCs/>
          <w:color w:val="000000"/>
          <w:kern w:val="2"/>
          <w:sz w:val="32"/>
          <w:szCs w:val="32"/>
          <w:lang w:val="en-US" w:eastAsia="zh-CN" w:bidi="ar-SA"/>
        </w:rPr>
        <w:t>起草工作组第一次工作会议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参会</w:t>
      </w:r>
      <w:r>
        <w:rPr>
          <w:rFonts w:hint="eastAsia" w:ascii="宋体" w:hAnsi="宋体"/>
          <w:b/>
          <w:sz w:val="32"/>
          <w:szCs w:val="28"/>
          <w:lang w:val="en-US" w:eastAsia="zh-CN"/>
        </w:rPr>
        <w:t>回执</w:t>
      </w: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4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365"/>
        <w:gridCol w:w="1154"/>
        <w:gridCol w:w="2239"/>
        <w:gridCol w:w="146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65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线上参会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线下参会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16CB6099"/>
    <w:rsid w:val="16CB6099"/>
    <w:rsid w:val="704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99</Characters>
  <Lines>0</Lines>
  <Paragraphs>0</Paragraphs>
  <TotalTime>0</TotalTime>
  <ScaleCrop>false</ScaleCrop>
  <LinksUpToDate>false</LinksUpToDate>
  <CharactersWithSpaces>119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2022-09-21T07:55:00Z</dcterms:created>
  <dc:creator>江苏钢铁行业协会数据对接</dc:creator>
  <cp:lastModifiedBy>江苏钢铁行业协会数据对接</cp:lastModifiedBy>
  <dcterms:modified xsi:type="dcterms:W3CDTF">2022-09-21T07:55:39Z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7CFE9E4E21E44E3B89A1282B34CBA92D</vt:lpwstr>
  </property>
</Properties>
</file>